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PLEASE ANSWER THE FOLLOWING QUESTIONS TO HELP US GET TO KNOW YOU BETTER.</w:t>
      </w:r>
    </w:p>
    <w:p w:rsidR="00000000" w:rsidDel="00000000" w:rsidP="00000000" w:rsidRDefault="00000000" w:rsidRPr="00000000" w14:paraId="00000002">
      <w:pPr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035"/>
        <w:tblGridChange w:id="0">
          <w:tblGrid>
            <w:gridCol w:w="232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Birthday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FAVORITES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7005"/>
        <w:tblGridChange w:id="0">
          <w:tblGrid>
            <w:gridCol w:w="2355"/>
            <w:gridCol w:w="7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Flower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Desserts/Indulgences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Restaurants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Stores to Shop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Any Others?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Dislikes?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MORE INTERESTS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7005"/>
        <w:tblGridChange w:id="0">
          <w:tblGrid>
            <w:gridCol w:w="2355"/>
            <w:gridCol w:w="7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Do you go to the movies? Which theatre?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Do you have pets?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Ideal pamper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Favorite Breakfast Items/ Treats (list 4-5 please)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Coffee? Hot/iced tea?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Specific order please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Favorite Lunch Order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(4-5 items please)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Do you like book stores?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20"/>
                <w:szCs w:val="20"/>
                <w:rtl w:val="0"/>
              </w:rPr>
              <w:t xml:space="preserve">Anything we missed?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legreya" w:cs="Alegreya" w:eastAsia="Alegreya" w:hAnsi="Alegrey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legreya" w:cs="Alegreya" w:eastAsia="Alegreya" w:hAnsi="Alegrey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